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50F9" w14:textId="027A6F55" w:rsidR="009233C6" w:rsidRPr="005E557D" w:rsidRDefault="009233C6" w:rsidP="009233C6">
      <w:pPr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5E557D">
        <w:rPr>
          <w:rFonts w:ascii="Arial" w:hAnsi="Arial" w:cs="Arial"/>
          <w:b/>
          <w:szCs w:val="20"/>
        </w:rPr>
        <w:t xml:space="preserve">PROMJENE U NATJECATELJSKOM PRAVILNIKU </w:t>
      </w:r>
      <w:r w:rsidR="005E557D">
        <w:rPr>
          <w:rFonts w:ascii="Arial" w:hAnsi="Arial" w:cs="Arial"/>
          <w:b/>
          <w:szCs w:val="20"/>
        </w:rPr>
        <w:t xml:space="preserve">ZA </w:t>
      </w:r>
      <w:r w:rsidRPr="005E557D">
        <w:rPr>
          <w:rFonts w:ascii="Arial" w:hAnsi="Arial" w:cs="Arial"/>
          <w:b/>
          <w:szCs w:val="20"/>
        </w:rPr>
        <w:t>20</w:t>
      </w:r>
      <w:r w:rsidR="00080D1C" w:rsidRPr="005E557D">
        <w:rPr>
          <w:rFonts w:ascii="Arial" w:hAnsi="Arial" w:cs="Arial"/>
          <w:b/>
          <w:szCs w:val="20"/>
        </w:rPr>
        <w:t>20</w:t>
      </w:r>
      <w:r w:rsidRPr="005E557D">
        <w:rPr>
          <w:rFonts w:ascii="Arial" w:hAnsi="Arial" w:cs="Arial"/>
          <w:b/>
          <w:szCs w:val="20"/>
        </w:rPr>
        <w:t>.</w:t>
      </w:r>
      <w:r w:rsidR="005E557D">
        <w:rPr>
          <w:rFonts w:ascii="Arial" w:hAnsi="Arial" w:cs="Arial"/>
          <w:b/>
          <w:szCs w:val="20"/>
        </w:rPr>
        <w:t xml:space="preserve"> GODINU</w:t>
      </w:r>
    </w:p>
    <w:p w14:paraId="67FC6993" w14:textId="77777777" w:rsidR="00882290" w:rsidRDefault="00882290" w:rsidP="009233C6">
      <w:pPr>
        <w:jc w:val="center"/>
        <w:rPr>
          <w:rFonts w:ascii="Arial" w:hAnsi="Arial" w:cs="Arial"/>
          <w:b/>
          <w:sz w:val="20"/>
          <w:szCs w:val="20"/>
        </w:rPr>
      </w:pPr>
    </w:p>
    <w:p w14:paraId="441D2785" w14:textId="77777777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0E8A2988" w14:textId="48F54701" w:rsidR="0007458A" w:rsidRDefault="0007458A" w:rsidP="000745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14:paraId="35FB0279" w14:textId="0FB71CBC" w:rsidR="0007458A" w:rsidRPr="00080D1C" w:rsidRDefault="0007458A" w:rsidP="0007458A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 xml:space="preserve">Članak </w:t>
      </w:r>
      <w:r>
        <w:rPr>
          <w:rStyle w:val="Strong"/>
          <w:rFonts w:ascii="Arial" w:hAnsi="Arial" w:cs="Arial"/>
          <w:sz w:val="20"/>
          <w:szCs w:val="20"/>
        </w:rPr>
        <w:t>2.8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 xml:space="preserve">dopuna 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(MJ: Veteranska godišta Hrvatskog badmintonskog saveza (HBS) se od 2020. godine usklađuju sa veteranskim godištima Badminton Europe (BE). Objašnjenje: igrači trebaju na dan 1. siječnja natjecateljske godine imati navršenu dob za dobnu skupinu za koju se prijavljuju.) </w:t>
      </w:r>
    </w:p>
    <w:p w14:paraId="64203FC9" w14:textId="77777777" w:rsidR="0007458A" w:rsidRDefault="0007458A" w:rsidP="000745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14:paraId="73D1DAA2" w14:textId="65680F4F" w:rsidR="0007458A" w:rsidRPr="0007458A" w:rsidRDefault="0007458A" w:rsidP="0007458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>2.8 Dobne skupine za natjecateljsku sezonu određene su Dodatkom natjecateljskog pravilnika za određenu natjecateljsku sezonu, prema sljedećim pravilima:</w:t>
      </w:r>
    </w:p>
    <w:p w14:paraId="54BD6B1E" w14:textId="77777777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Poletarci (U11) – ispod 11 godina – 10 godina i mlađi ;</w:t>
      </w:r>
      <w:r w:rsidRPr="0007458A">
        <w:rPr>
          <w:rFonts w:ascii="Arial" w:hAnsi="Arial" w:cs="Arial"/>
          <w:i/>
          <w:sz w:val="20"/>
          <w:szCs w:val="20"/>
          <w:lang w:val="pl-PL"/>
        </w:rPr>
        <w:br/>
      </w:r>
      <w:r w:rsidRPr="0007458A">
        <w:rPr>
          <w:rFonts w:ascii="Arial" w:hAnsi="Arial" w:cs="Arial"/>
          <w:i/>
          <w:sz w:val="20"/>
          <w:szCs w:val="20"/>
          <w:lang w:val="pl-PL"/>
        </w:rPr>
        <w:tab/>
        <w:t>Mlađi kadeti (U13) – ispod 13 godina – 12 godina i mlađi ;</w:t>
      </w:r>
    </w:p>
    <w:p w14:paraId="01C337E4" w14:textId="77777777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Kadeti (U15) – ispod 15 godina – 14 godina i mlađi ;</w:t>
      </w:r>
    </w:p>
    <w:p w14:paraId="3943DF13" w14:textId="77777777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Mlađi juniori (U17) – ispod 17 godina – 16 godina i mlađi ;</w:t>
      </w:r>
    </w:p>
    <w:p w14:paraId="7BD1AD0C" w14:textId="77777777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Juniori (U19) – ispod 19 godina – 18 godina i mlađi ;</w:t>
      </w:r>
    </w:p>
    <w:p w14:paraId="35E8B1B3" w14:textId="77777777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Seniori – bez dobnoga ograničenja ;</w:t>
      </w:r>
    </w:p>
    <w:p w14:paraId="3AF6021C" w14:textId="7FC9E857" w:rsidR="0007458A" w:rsidRPr="007536B3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 xml:space="preserve">Veterani 35+ – 35 godina i </w:t>
      </w:r>
      <w:r w:rsidRPr="007536B3">
        <w:rPr>
          <w:rFonts w:ascii="Arial" w:hAnsi="Arial" w:cs="Arial"/>
          <w:i/>
          <w:sz w:val="20"/>
          <w:szCs w:val="20"/>
          <w:lang w:val="pl-PL"/>
        </w:rPr>
        <w:t xml:space="preserve">stariji </w:t>
      </w:r>
      <w:r w:rsidR="00993592"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- </w:t>
      </w:r>
      <w:r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na dan 1. siječnja moraju imati navršenih 35 godina </w:t>
      </w:r>
      <w:r w:rsidRPr="007536B3">
        <w:rPr>
          <w:rFonts w:ascii="Arial" w:hAnsi="Arial" w:cs="Arial"/>
          <w:i/>
          <w:sz w:val="20"/>
          <w:szCs w:val="20"/>
          <w:lang w:val="pl-PL"/>
        </w:rPr>
        <w:t xml:space="preserve">; </w:t>
      </w:r>
    </w:p>
    <w:p w14:paraId="0ABBBD19" w14:textId="7FE34E95" w:rsidR="0007458A" w:rsidRPr="007536B3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7536B3">
        <w:rPr>
          <w:rFonts w:ascii="Arial" w:hAnsi="Arial" w:cs="Arial"/>
          <w:i/>
          <w:sz w:val="20"/>
          <w:szCs w:val="20"/>
          <w:lang w:val="pl-PL"/>
        </w:rPr>
        <w:tab/>
        <w:t xml:space="preserve">Veterani 45+ – 45 godina i stariji </w:t>
      </w:r>
      <w:r w:rsidR="00993592"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- </w:t>
      </w:r>
      <w:r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na dan 1. siječnja moraju imati navršenih 45 godina </w:t>
      </w:r>
      <w:r w:rsidRPr="007536B3">
        <w:rPr>
          <w:rFonts w:ascii="Arial" w:hAnsi="Arial" w:cs="Arial"/>
          <w:i/>
          <w:sz w:val="20"/>
          <w:szCs w:val="20"/>
          <w:lang w:val="pl-PL"/>
        </w:rPr>
        <w:t>;</w:t>
      </w:r>
    </w:p>
    <w:p w14:paraId="5F522226" w14:textId="4E4AA96E" w:rsidR="0007458A" w:rsidRPr="0007458A" w:rsidRDefault="0007458A" w:rsidP="0007458A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7536B3">
        <w:rPr>
          <w:rFonts w:ascii="Arial" w:hAnsi="Arial" w:cs="Arial"/>
          <w:i/>
          <w:sz w:val="20"/>
          <w:szCs w:val="20"/>
          <w:lang w:val="pl-PL"/>
        </w:rPr>
        <w:tab/>
        <w:t>Veterani 55+ – 55 godina i stariji</w:t>
      </w:r>
      <w:r w:rsidR="00993592" w:rsidRPr="007536B3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993592"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- </w:t>
      </w:r>
      <w:r w:rsidRPr="007536B3">
        <w:rPr>
          <w:rFonts w:ascii="Arial" w:hAnsi="Arial" w:cs="Arial"/>
          <w:i/>
          <w:color w:val="0070C0"/>
          <w:sz w:val="20"/>
          <w:szCs w:val="20"/>
          <w:lang w:val="pl-PL"/>
        </w:rPr>
        <w:t>na dan 1.</w:t>
      </w:r>
      <w:r w:rsidRPr="0007458A">
        <w:rPr>
          <w:rFonts w:ascii="Arial" w:hAnsi="Arial" w:cs="Arial"/>
          <w:i/>
          <w:color w:val="0070C0"/>
          <w:sz w:val="20"/>
          <w:szCs w:val="20"/>
          <w:lang w:val="pl-PL"/>
        </w:rPr>
        <w:t xml:space="preserve"> siječnja moraju imati navršenih 55 godina</w:t>
      </w:r>
      <w:r w:rsidRPr="0007458A">
        <w:rPr>
          <w:rFonts w:ascii="Arial" w:hAnsi="Arial" w:cs="Arial"/>
          <w:i/>
          <w:sz w:val="20"/>
          <w:szCs w:val="20"/>
          <w:lang w:val="pl-PL"/>
        </w:rPr>
        <w:t xml:space="preserve"> .</w:t>
      </w:r>
    </w:p>
    <w:p w14:paraId="6EBE872A" w14:textId="77777777" w:rsidR="00492B1E" w:rsidRDefault="00492B1E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9E8675B" w14:textId="2D81FC73" w:rsidR="0007458A" w:rsidRDefault="00492B1E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CE53AA3" w14:textId="75225BB3" w:rsidR="00492B1E" w:rsidRDefault="00492B1E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40E9FFE" w14:textId="2D22F3BA" w:rsidR="0093085D" w:rsidRPr="00492B1E" w:rsidRDefault="0093085D" w:rsidP="0093085D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 xml:space="preserve">Članak </w:t>
      </w:r>
      <w:r>
        <w:rPr>
          <w:rStyle w:val="Strong"/>
          <w:rFonts w:ascii="Arial" w:hAnsi="Arial" w:cs="Arial"/>
          <w:sz w:val="20"/>
          <w:szCs w:val="20"/>
        </w:rPr>
        <w:t>2</w:t>
      </w:r>
      <w:r w:rsidRPr="00080D1C">
        <w:rPr>
          <w:rStyle w:val="Strong"/>
          <w:rFonts w:ascii="Arial" w:hAnsi="Arial" w:cs="Arial"/>
          <w:sz w:val="20"/>
          <w:szCs w:val="20"/>
        </w:rPr>
        <w:t>.</w:t>
      </w:r>
      <w:r>
        <w:rPr>
          <w:rStyle w:val="Strong"/>
          <w:rFonts w:ascii="Arial" w:hAnsi="Arial" w:cs="Arial"/>
          <w:sz w:val="20"/>
          <w:szCs w:val="20"/>
        </w:rPr>
        <w:t>12.3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>dopuna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(MJ: </w:t>
      </w:r>
      <w:r w:rsidR="00AA3E24">
        <w:rPr>
          <w:rStyle w:val="Strong"/>
          <w:rFonts w:ascii="Arial" w:hAnsi="Arial" w:cs="Arial"/>
          <w:b w:val="0"/>
          <w:color w:val="7030A0"/>
          <w:sz w:val="20"/>
          <w:szCs w:val="20"/>
        </w:rPr>
        <w:t>Nije bilo jasno je li se za odjavu nakon roka u pojedinačnoj konkurenciji HK plaća prijavnina ili ne – znači odnosi se samo na pojedinačnu konkurenciju. Kod parskih konkurencija se i prijave mogu obaviti na samom natjecanju neposredno prije samog natjecanja, pa samim time i odjave.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</w:p>
    <w:p w14:paraId="201CBB8A" w14:textId="77777777" w:rsidR="0093085D" w:rsidRDefault="0093085D" w:rsidP="0093085D">
      <w:pPr>
        <w:jc w:val="both"/>
        <w:rPr>
          <w:rFonts w:ascii="Arial" w:hAnsi="Arial" w:cs="Arial"/>
          <w:sz w:val="20"/>
          <w:szCs w:val="20"/>
        </w:rPr>
      </w:pPr>
    </w:p>
    <w:p w14:paraId="09535A47" w14:textId="77777777" w:rsidR="0093085D" w:rsidRPr="00903E7A" w:rsidRDefault="0093085D" w:rsidP="0093085D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 xml:space="preserve">2.12.3 Odjave sa natjecanja HK u pojedinačnim i parskim konkurencijama otvorene su do petka u 12 sati prije dotičnog natjecanja. </w:t>
      </w:r>
      <w:r w:rsidRPr="00903E7A">
        <w:rPr>
          <w:rFonts w:ascii="Arial" w:hAnsi="Arial" w:cs="Arial"/>
          <w:i/>
          <w:color w:val="0070C0"/>
          <w:sz w:val="20"/>
          <w:szCs w:val="20"/>
        </w:rPr>
        <w:t>Igrači koji su u pojedinačnoj konkurenciji odjavljeni nakon tog roka, brišu se iz ždrijeba natjecanja, a prijavninu za neodjavljenog igrača Udruga je dužna platiti organizatoru natjecanja. Udruga dužnik nema pravo nastupa na turnirima Saveza (uključujući i dotično natjecanje) sve do podmirenja duga. Iznos naknade za nepravodobnu odjavu sa natjecanja HK jednaka je iznosu prijavnine za ta natjecanja koja je određena Cjenikom Saveza.</w:t>
      </w:r>
    </w:p>
    <w:p w14:paraId="5DBB11A9" w14:textId="77777777" w:rsidR="0093085D" w:rsidRPr="0093085D" w:rsidRDefault="0093085D" w:rsidP="0093085D">
      <w:pPr>
        <w:jc w:val="both"/>
        <w:rPr>
          <w:rFonts w:ascii="Arial" w:hAnsi="Arial" w:cs="Arial"/>
          <w:sz w:val="20"/>
        </w:rPr>
      </w:pPr>
    </w:p>
    <w:p w14:paraId="1042BC3B" w14:textId="77777777" w:rsidR="0093085D" w:rsidRDefault="0093085D" w:rsidP="0093085D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0848987D" w14:textId="77777777" w:rsidR="0093085D" w:rsidRDefault="0093085D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05F042D1" w14:textId="488E88A7" w:rsidR="009233C6" w:rsidRPr="00492B1E" w:rsidRDefault="006616E9" w:rsidP="0007458A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>Č</w:t>
      </w:r>
      <w:r w:rsidR="00882290" w:rsidRPr="00080D1C">
        <w:rPr>
          <w:rStyle w:val="Strong"/>
          <w:rFonts w:ascii="Arial" w:hAnsi="Arial" w:cs="Arial"/>
          <w:sz w:val="20"/>
          <w:szCs w:val="20"/>
        </w:rPr>
        <w:t>lan</w:t>
      </w:r>
      <w:r w:rsidRPr="00080D1C">
        <w:rPr>
          <w:rStyle w:val="Strong"/>
          <w:rFonts w:ascii="Arial" w:hAnsi="Arial" w:cs="Arial"/>
          <w:sz w:val="20"/>
          <w:szCs w:val="20"/>
        </w:rPr>
        <w:t>a</w:t>
      </w:r>
      <w:r w:rsidR="00882290" w:rsidRPr="00080D1C">
        <w:rPr>
          <w:rStyle w:val="Strong"/>
          <w:rFonts w:ascii="Arial" w:hAnsi="Arial" w:cs="Arial"/>
          <w:sz w:val="20"/>
          <w:szCs w:val="20"/>
        </w:rPr>
        <w:t xml:space="preserve">k </w:t>
      </w:r>
      <w:r w:rsidR="00080D1C" w:rsidRPr="00080D1C">
        <w:rPr>
          <w:rStyle w:val="Strong"/>
          <w:rFonts w:ascii="Arial" w:hAnsi="Arial" w:cs="Arial"/>
          <w:sz w:val="20"/>
          <w:szCs w:val="20"/>
        </w:rPr>
        <w:t>3.7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>dopuna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9F7A4F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(</w:t>
      </w:r>
      <w:r w:rsidR="00080D1C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MJ: </w:t>
      </w:r>
      <w:r w:rsidR="003A5E59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Na ovaj način </w:t>
      </w:r>
      <w:r w:rsidR="00080D1C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bi se dalo do znanja da ždrijeb nije dirigiran, nego nasumičan</w:t>
      </w:r>
      <w:r w:rsidR="00492B1E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.</w:t>
      </w:r>
      <w:r w:rsidR="00080D1C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) </w:t>
      </w:r>
    </w:p>
    <w:p w14:paraId="4EEE20E4" w14:textId="77777777" w:rsidR="00080D1C" w:rsidRPr="00080D1C" w:rsidRDefault="00080D1C" w:rsidP="00080D1C">
      <w:pPr>
        <w:pStyle w:val="ListParagraph"/>
        <w:ind w:left="360"/>
        <w:jc w:val="both"/>
        <w:rPr>
          <w:rStyle w:val="Strong"/>
          <w:rFonts w:ascii="Arial" w:hAnsi="Arial" w:cs="Arial"/>
          <w:sz w:val="20"/>
          <w:szCs w:val="20"/>
        </w:rPr>
      </w:pPr>
    </w:p>
    <w:p w14:paraId="27E39384" w14:textId="77777777" w:rsidR="00080D1C" w:rsidRPr="00080D1C" w:rsidRDefault="00080D1C" w:rsidP="00080D1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080D1C">
        <w:rPr>
          <w:rFonts w:ascii="Arial" w:hAnsi="Arial" w:cs="Arial"/>
          <w:i/>
          <w:sz w:val="20"/>
          <w:szCs w:val="20"/>
        </w:rPr>
        <w:t>3.7 Broj nositelja u ždrijebu određuje se na temelju broja prijavljenih igrača/parova prema rasporedu:</w:t>
      </w:r>
    </w:p>
    <w:p w14:paraId="609EF037" w14:textId="68E927D1" w:rsidR="00080D1C" w:rsidRPr="00080D1C" w:rsidRDefault="00080D1C" w:rsidP="00080D1C">
      <w:pPr>
        <w:pStyle w:val="NormalWeb"/>
        <w:spacing w:before="0" w:beforeAutospacing="0" w:after="0" w:afterAutospacing="0"/>
        <w:ind w:left="708"/>
        <w:rPr>
          <w:rFonts w:ascii="Arial" w:hAnsi="Arial" w:cs="Arial"/>
          <w:i/>
          <w:sz w:val="20"/>
          <w:szCs w:val="20"/>
        </w:rPr>
      </w:pPr>
      <w:bookmarkStart w:id="1" w:name="_Hlk24632690"/>
      <w:r w:rsidRPr="00080D1C">
        <w:rPr>
          <w:rFonts w:ascii="Arial" w:hAnsi="Arial" w:cs="Arial"/>
          <w:i/>
          <w:sz w:val="20"/>
          <w:szCs w:val="20"/>
        </w:rPr>
        <w:t xml:space="preserve">do 7 igrača/para - 2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od 8 do 15 igrača/para - 4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od 16 do 31 igrača/para - 8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2x3/4, 4x5/8)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32 i više igrača/para - 16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2x3/4, 4x5/8, 8x9/16)</w:t>
      </w:r>
      <w:r w:rsidRPr="00080D1C">
        <w:rPr>
          <w:rFonts w:ascii="Arial" w:hAnsi="Arial" w:cs="Arial"/>
          <w:i/>
          <w:sz w:val="20"/>
          <w:szCs w:val="20"/>
        </w:rPr>
        <w:t>. </w:t>
      </w:r>
    </w:p>
    <w:bookmarkEnd w:id="1"/>
    <w:p w14:paraId="229D149A" w14:textId="17FBAE1F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27F05816" w14:textId="77777777" w:rsidR="00903E7A" w:rsidRDefault="00903E7A" w:rsidP="00903E7A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A6FFCA3" w14:textId="77777777" w:rsidR="00903E7A" w:rsidRDefault="00903E7A" w:rsidP="00903E7A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53BDF58" w14:textId="76CC9C2F" w:rsidR="00903E7A" w:rsidRPr="00492B1E" w:rsidRDefault="00903E7A" w:rsidP="00903E7A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>Članak 3.</w:t>
      </w:r>
      <w:r>
        <w:rPr>
          <w:rStyle w:val="Strong"/>
          <w:rFonts w:ascii="Arial" w:hAnsi="Arial" w:cs="Arial"/>
          <w:sz w:val="20"/>
          <w:szCs w:val="20"/>
        </w:rPr>
        <w:t>9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>dopuna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(MJ:</w:t>
      </w: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U sistemu Round Robin – svako sa svakim - Tournament software meč 1. i 2. nositelja smješta u</w:t>
      </w:r>
      <w:r w:rsidR="003B66A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1., </w:t>
      </w: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>2. ili 3 kolo</w:t>
      </w:r>
      <w:r w:rsidR="003B66A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(ovisno o broju igrača/parova)</w:t>
      </w: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>, a realno najčešće je to finale i treba se igrati u zadnjem kolu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>.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</w:p>
    <w:p w14:paraId="56569C96" w14:textId="53C211DD" w:rsidR="00903E7A" w:rsidRDefault="00903E7A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BFDA370" w14:textId="77777777" w:rsidR="00903E7A" w:rsidRPr="00903E7A" w:rsidRDefault="00903E7A" w:rsidP="00903E7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 xml:space="preserve">3.9 Na natjecanjima PH u pojedinačnim i parskim konkurencijama igra se jednostruki kup sistem bez razigravanja u skladu sa BWF-ovom shemom natjecanja. </w:t>
      </w:r>
      <w:r w:rsidRPr="00903E7A">
        <w:rPr>
          <w:rFonts w:ascii="Arial" w:hAnsi="Arial" w:cs="Arial"/>
          <w:i/>
          <w:color w:val="000000" w:themeColor="text1"/>
          <w:sz w:val="20"/>
          <w:szCs w:val="20"/>
        </w:rPr>
        <w:t>Ako je na natjecanju PH prijavljeno do 5 igrača odnosno parova, tada se igra po sistemu svako sa svakim, i tada 4. plasirani igrač odnosno par u poretku dobiva medalju i bodove jednako kao 3. plasirani igrač odnosno par</w:t>
      </w:r>
      <w:r w:rsidRPr="00903E7A">
        <w:rPr>
          <w:rFonts w:ascii="Arial" w:hAnsi="Arial" w:cs="Arial"/>
          <w:i/>
          <w:color w:val="0070C0"/>
          <w:sz w:val="20"/>
          <w:szCs w:val="20"/>
        </w:rPr>
        <w:t>. U sistemu svako sa svakim, prvi i drugi nositelji igraju u zadnjem kolu (odnosno finalu).</w:t>
      </w:r>
    </w:p>
    <w:p w14:paraId="4F09F4B5" w14:textId="77777777" w:rsidR="00903E7A" w:rsidRDefault="00903E7A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7F3AAEBB" w14:textId="76801BBB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2BB4D12B" w14:textId="77777777" w:rsidR="00903E7A" w:rsidRDefault="00903E7A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5D2A7FA" w14:textId="77777777" w:rsidR="003B66A2" w:rsidRPr="00492B1E" w:rsidRDefault="00903E7A" w:rsidP="003B66A2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  <w:r w:rsidRPr="003B66A2">
        <w:rPr>
          <w:rStyle w:val="Strong"/>
          <w:rFonts w:ascii="Arial" w:hAnsi="Arial" w:cs="Arial"/>
          <w:sz w:val="20"/>
          <w:szCs w:val="20"/>
        </w:rPr>
        <w:t>Članak 4.9</w:t>
      </w:r>
      <w:r w:rsidRPr="003B66A2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3B66A2">
        <w:rPr>
          <w:rStyle w:val="Strong"/>
          <w:rFonts w:ascii="Arial" w:hAnsi="Arial" w:cs="Arial"/>
          <w:b w:val="0"/>
          <w:color w:val="0070C0"/>
          <w:sz w:val="20"/>
          <w:szCs w:val="20"/>
        </w:rPr>
        <w:t>dopuna</w:t>
      </w:r>
      <w:r w:rsidRPr="003B66A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(MJ: U sistemu Round Robin – svako sa svakim - </w:t>
      </w:r>
      <w:r w:rsidR="003B66A2">
        <w:rPr>
          <w:rStyle w:val="Strong"/>
          <w:rFonts w:ascii="Arial" w:hAnsi="Arial" w:cs="Arial"/>
          <w:b w:val="0"/>
          <w:color w:val="7030A0"/>
          <w:sz w:val="20"/>
          <w:szCs w:val="20"/>
        </w:rPr>
        <w:t>Tournament software meč 1. i 2. nositelja smješta u 1., 2. ili 3 kolo (ovisno o broju igrača/parova), a realno najčešće je to finale i treba se igrati u zadnjem kolu</w:t>
      </w:r>
      <w:r w:rsidR="003B66A2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  <w:r w:rsidR="003B66A2">
        <w:rPr>
          <w:rStyle w:val="Strong"/>
          <w:rFonts w:ascii="Arial" w:hAnsi="Arial" w:cs="Arial"/>
          <w:b w:val="0"/>
          <w:color w:val="7030A0"/>
          <w:sz w:val="20"/>
          <w:szCs w:val="20"/>
        </w:rPr>
        <w:t>.</w:t>
      </w:r>
      <w:r w:rsidR="003B66A2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</w:p>
    <w:p w14:paraId="56CBB318" w14:textId="45659A06" w:rsidR="00903E7A" w:rsidRPr="003B66A2" w:rsidRDefault="00903E7A" w:rsidP="003B66A2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</w:p>
    <w:p w14:paraId="16E15F3A" w14:textId="5F0F03F2" w:rsidR="00903E7A" w:rsidRPr="00903E7A" w:rsidRDefault="00903E7A" w:rsidP="00903E7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lastRenderedPageBreak/>
        <w:t xml:space="preserve">4.9 Na natjecanjima HK u pojedinačnim i parskim konkurencijama igra se jednostruki kup sistem sa  razigravanjem u skladu sa BWF-ovom shemom natjecanja. Obavezno je razigravanje za prvih 9 mjesta u poretku, a ako uvjeti na natjecanju to dozvoljavaju, razigrava se i za prestala mjesta u poretku. Ako je na natjecanju prijavljeno do 5 igrača odnosno parova, tada se igra po sistemu svako sa svakim. </w:t>
      </w:r>
      <w:r w:rsidRPr="00903E7A">
        <w:rPr>
          <w:rFonts w:ascii="Arial" w:hAnsi="Arial" w:cs="Arial"/>
          <w:i/>
          <w:color w:val="0070C0"/>
          <w:sz w:val="20"/>
          <w:szCs w:val="20"/>
        </w:rPr>
        <w:t>U sistemu svako sa svakim, prvi i drugi nositelji igraju u zadnjem kolu (odnosno finalu).</w:t>
      </w:r>
    </w:p>
    <w:p w14:paraId="03B72608" w14:textId="1258064B" w:rsidR="0007458A" w:rsidRPr="00903E7A" w:rsidRDefault="0007458A" w:rsidP="009233C6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5FAEDDBD" w14:textId="77777777" w:rsidR="00903E7A" w:rsidRDefault="00903E7A" w:rsidP="00903E7A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55F629CF" w14:textId="77777777" w:rsidR="00903E7A" w:rsidRPr="00903E7A" w:rsidRDefault="00903E7A" w:rsidP="009233C6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14:paraId="4C6BBC42" w14:textId="387F361A" w:rsidR="0007458A" w:rsidRPr="00492B1E" w:rsidRDefault="0007458A" w:rsidP="0007458A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 xml:space="preserve">Članak </w:t>
      </w:r>
      <w:r>
        <w:rPr>
          <w:rStyle w:val="Strong"/>
          <w:rFonts w:ascii="Arial" w:hAnsi="Arial" w:cs="Arial"/>
          <w:sz w:val="20"/>
          <w:szCs w:val="20"/>
        </w:rPr>
        <w:t>4</w:t>
      </w:r>
      <w:r w:rsidRPr="00080D1C">
        <w:rPr>
          <w:rStyle w:val="Strong"/>
          <w:rFonts w:ascii="Arial" w:hAnsi="Arial" w:cs="Arial"/>
          <w:sz w:val="20"/>
          <w:szCs w:val="20"/>
        </w:rPr>
        <w:t>.7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="003A5E59"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>dopuna</w:t>
      </w:r>
      <w:r w:rsidR="003A5E59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(MJ: </w:t>
      </w:r>
      <w:r w:rsidR="003A5E59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Na ovaj način </w:t>
      </w:r>
      <w:r w:rsidR="003A5E59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bi se dalo do znanja da ždrijeb nije dirigiran, nego nasumičan.)</w:t>
      </w:r>
    </w:p>
    <w:p w14:paraId="5C2210EF" w14:textId="77777777" w:rsidR="0007458A" w:rsidRPr="00080D1C" w:rsidRDefault="0007458A" w:rsidP="0007458A">
      <w:pPr>
        <w:pStyle w:val="ListParagraph"/>
        <w:ind w:left="360"/>
        <w:jc w:val="both"/>
        <w:rPr>
          <w:rStyle w:val="Strong"/>
          <w:rFonts w:ascii="Arial" w:hAnsi="Arial" w:cs="Arial"/>
          <w:sz w:val="20"/>
          <w:szCs w:val="20"/>
        </w:rPr>
      </w:pPr>
    </w:p>
    <w:p w14:paraId="21F07C50" w14:textId="25681C55" w:rsidR="0007458A" w:rsidRPr="00080D1C" w:rsidRDefault="0007458A" w:rsidP="0007458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Pr="00080D1C">
        <w:rPr>
          <w:rFonts w:ascii="Arial" w:hAnsi="Arial" w:cs="Arial"/>
          <w:i/>
          <w:sz w:val="20"/>
          <w:szCs w:val="20"/>
        </w:rPr>
        <w:t>.7 Broj nositelja u ždrijebu određuje se na temelju broja prijavljenih igrača/parova prema rasporedu:</w:t>
      </w:r>
    </w:p>
    <w:p w14:paraId="21DDDA96" w14:textId="77777777" w:rsidR="0007458A" w:rsidRPr="00080D1C" w:rsidRDefault="0007458A" w:rsidP="0007458A">
      <w:pPr>
        <w:pStyle w:val="NormalWeb"/>
        <w:spacing w:before="0" w:beforeAutospacing="0" w:after="0" w:afterAutospacing="0"/>
        <w:ind w:left="708"/>
        <w:rPr>
          <w:rFonts w:ascii="Arial" w:hAnsi="Arial" w:cs="Arial"/>
          <w:i/>
          <w:sz w:val="20"/>
          <w:szCs w:val="20"/>
        </w:rPr>
      </w:pPr>
      <w:r w:rsidRPr="00080D1C">
        <w:rPr>
          <w:rFonts w:ascii="Arial" w:hAnsi="Arial" w:cs="Arial"/>
          <w:i/>
          <w:sz w:val="20"/>
          <w:szCs w:val="20"/>
        </w:rPr>
        <w:t xml:space="preserve">do 7 igrača/para - 2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od 8 do 15 igrača/para - 4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od 16 do 31 igrača/para - 8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2x3/4, 4x5/8)</w:t>
      </w:r>
      <w:r w:rsidRPr="00080D1C">
        <w:rPr>
          <w:rFonts w:ascii="Arial" w:hAnsi="Arial" w:cs="Arial"/>
          <w:i/>
          <w:sz w:val="20"/>
          <w:szCs w:val="20"/>
        </w:rPr>
        <w:t>,</w:t>
      </w:r>
      <w:r w:rsidRPr="00080D1C">
        <w:rPr>
          <w:rFonts w:ascii="Arial" w:hAnsi="Arial" w:cs="Arial"/>
          <w:i/>
          <w:sz w:val="20"/>
          <w:szCs w:val="20"/>
        </w:rPr>
        <w:br/>
        <w:t xml:space="preserve">32 i više igrača/para - 16 nositelja </w:t>
      </w:r>
      <w:r w:rsidRPr="00080D1C">
        <w:rPr>
          <w:rFonts w:ascii="Arial" w:hAnsi="Arial" w:cs="Arial"/>
          <w:i/>
          <w:color w:val="0070C0"/>
          <w:sz w:val="20"/>
          <w:szCs w:val="20"/>
        </w:rPr>
        <w:t>(1, 2, 2x3/4, 4x5/8, 8x9/16)</w:t>
      </w:r>
      <w:r w:rsidRPr="00080D1C">
        <w:rPr>
          <w:rFonts w:ascii="Arial" w:hAnsi="Arial" w:cs="Arial"/>
          <w:i/>
          <w:sz w:val="20"/>
          <w:szCs w:val="20"/>
        </w:rPr>
        <w:t>. </w:t>
      </w:r>
    </w:p>
    <w:p w14:paraId="5A3A4353" w14:textId="77777777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10C78477" w14:textId="77777777" w:rsidR="007C3A83" w:rsidRDefault="007C3A83" w:rsidP="007C3A83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BEAA622" w14:textId="513173DD" w:rsidR="007C3A83" w:rsidRDefault="007C3A83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5228CD47" w14:textId="17C3B8C1" w:rsidR="00D73DE4" w:rsidRDefault="007C3A83" w:rsidP="00CF07E0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D73DE4">
        <w:rPr>
          <w:rStyle w:val="Strong"/>
          <w:rFonts w:ascii="Arial" w:hAnsi="Arial" w:cs="Arial"/>
          <w:sz w:val="20"/>
          <w:szCs w:val="20"/>
        </w:rPr>
        <w:t>Članak 4.12</w:t>
      </w:r>
      <w:r w:rsidRPr="00D73DE4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D73DE4">
        <w:rPr>
          <w:rStyle w:val="Strong"/>
          <w:rFonts w:ascii="Arial" w:hAnsi="Arial" w:cs="Arial"/>
          <w:b w:val="0"/>
          <w:color w:val="0070C0"/>
          <w:sz w:val="20"/>
          <w:szCs w:val="20"/>
        </w:rPr>
        <w:t>izmjena</w:t>
      </w:r>
      <w:r w:rsidRPr="00D73DE4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(MJ: </w:t>
      </w:r>
      <w:r w:rsidR="00D73DE4" w:rsidRPr="00D73DE4">
        <w:rPr>
          <w:rStyle w:val="Strong"/>
          <w:rFonts w:ascii="Arial" w:hAnsi="Arial" w:cs="Arial"/>
          <w:b w:val="0"/>
          <w:color w:val="7030A0"/>
          <w:sz w:val="20"/>
          <w:szCs w:val="20"/>
        </w:rPr>
        <w:t>Umjesto poklon bonova i novčane nagrade za pobjednike HK u pojedinačnim konkurencijama, uvelo bi se da se dobivaju pehari – to je ukupno 9 dobnih skupina x 2 konkurencije (M,Ž) = 18 pehara, koje bi osigurao Savez. Obrazloženje: Pehar ipak ostaje kao trajna vrijednost i uspomena, dok se poklon bonovi i novčana nagrada potroše u nešto što nema trajnu vrijednost, a nisu toliko značajnog  iznosa.</w:t>
      </w:r>
      <w:r w:rsidR="00D73DE4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D73DE4" w:rsidRPr="00D73DE4">
        <w:rPr>
          <w:rStyle w:val="Strong"/>
          <w:rFonts w:ascii="Arial" w:hAnsi="Arial" w:cs="Arial"/>
          <w:b w:val="0"/>
          <w:color w:val="7030A0"/>
          <w:sz w:val="20"/>
          <w:szCs w:val="20"/>
        </w:rPr>
        <w:t>Napomena: Rijetko se dogodi da u pojedinačnoj konkurenciji dva ili više igrača dijeli prvo mjesto, a u tom slučaju svatko od njih bi dobio pehar.</w:t>
      </w:r>
      <w:r w:rsidR="00D73DE4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</w:p>
    <w:p w14:paraId="4A937DE2" w14:textId="1A56CB28" w:rsidR="001F4F67" w:rsidRPr="00D73DE4" w:rsidRDefault="001F4F67" w:rsidP="001F4F67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>DODATNO: NIJE PROPISANO KOLIKO KRUGOVA HK TREBA BITI ODRŽANO DA BI SE PROGLASITI POBJEDNICI</w:t>
      </w:r>
      <w:r w:rsidR="000E5707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, TJ. DA BI DIJELILE NAGRADE.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DOSAD SU SVE DOBNE SKUPINE OSIM VETERANA IMALE SVE ODRŽANE KRUGOVE (U11,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U13,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U15,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U17,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U19,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Seniori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– svi po 4 kruga</w:t>
      </w:r>
      <w:r w:rsidR="00252197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  <w:r w:rsidR="000C32B2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. KOD VETERANA SE ZNA DOGODITI DA SE U NEKIM DOBNIM SKUPINAMA I KONKURENCIJAMA ODRŽI JEDNO ILI NIJEDNO NATJECANEJ (KRUG). </w:t>
      </w:r>
    </w:p>
    <w:p w14:paraId="0D6265B3" w14:textId="77777777" w:rsidR="007C3A83" w:rsidRDefault="007C3A83" w:rsidP="007C3A83">
      <w:pPr>
        <w:jc w:val="both"/>
        <w:rPr>
          <w:rStyle w:val="Emphasis"/>
          <w:rFonts w:ascii="Arial" w:hAnsi="Arial" w:cs="Arial"/>
          <w:sz w:val="20"/>
          <w:szCs w:val="20"/>
        </w:rPr>
      </w:pPr>
    </w:p>
    <w:p w14:paraId="03F44AFC" w14:textId="1CC003E7" w:rsidR="007C3A83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z w:val="20"/>
          <w:szCs w:val="20"/>
        </w:rPr>
      </w:pPr>
      <w:r w:rsidRPr="00CC50E6">
        <w:rPr>
          <w:rStyle w:val="Emphasis"/>
          <w:rFonts w:ascii="Arial" w:hAnsi="Arial" w:cs="Arial"/>
          <w:sz w:val="20"/>
          <w:szCs w:val="20"/>
        </w:rPr>
        <w:t xml:space="preserve">4.12 </w:t>
      </w:r>
      <w:r>
        <w:rPr>
          <w:rStyle w:val="Emphasis"/>
          <w:rFonts w:ascii="Arial" w:hAnsi="Arial" w:cs="Arial"/>
          <w:sz w:val="20"/>
          <w:szCs w:val="20"/>
        </w:rPr>
        <w:t>Nagrade</w:t>
      </w:r>
    </w:p>
    <w:p w14:paraId="4DED56D9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 xml:space="preserve">- Pobjednici u konačnom poretku HK u pojedinačnim konkurencijama dobivaju sljedeće nagrade: </w:t>
      </w:r>
    </w:p>
    <w:p w14:paraId="2529B09B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 xml:space="preserve">- Poletarci: poklon bon u vrijednosti 450 kn, </w:t>
      </w:r>
    </w:p>
    <w:p w14:paraId="4B68E1C1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>- Mlađi kadeti: poklon bon u vrijednosti 550 kn,</w:t>
      </w:r>
    </w:p>
    <w:p w14:paraId="11A992D7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 xml:space="preserve">- Kadeti: poklon bon u vrijednosti 650 kn, </w:t>
      </w:r>
    </w:p>
    <w:p w14:paraId="317300E6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>- Mlađi juniori: poklon bon u vrijednosti 750 kn,</w:t>
      </w:r>
    </w:p>
    <w:p w14:paraId="23F63346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>- Juniori: poklon bon u vrijednosti 850 kn,</w:t>
      </w:r>
    </w:p>
    <w:p w14:paraId="3719D55A" w14:textId="0ED770B4" w:rsidR="007C3A83" w:rsidRPr="000E5707" w:rsidRDefault="007C3A83" w:rsidP="007C3A83">
      <w:pPr>
        <w:jc w:val="both"/>
        <w:rPr>
          <w:rStyle w:val="Emphasis"/>
          <w:rFonts w:ascii="Arial" w:hAnsi="Arial" w:cs="Arial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ab/>
        <w:t>- Seniori: uplata u iznosu od 1000 kn na račun Udruge čiji je igrač član.</w:t>
      </w:r>
    </w:p>
    <w:p w14:paraId="237A655A" w14:textId="77777777" w:rsidR="007C3A83" w:rsidRPr="000E5707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strike/>
          <w:color w:val="0070C0"/>
          <w:sz w:val="20"/>
          <w:szCs w:val="20"/>
        </w:rPr>
      </w:pPr>
      <w:r w:rsidRPr="000E5707">
        <w:rPr>
          <w:rStyle w:val="Emphasis"/>
          <w:rFonts w:ascii="Arial" w:hAnsi="Arial" w:cs="Arial"/>
          <w:strike/>
          <w:color w:val="0070C0"/>
          <w:sz w:val="20"/>
          <w:szCs w:val="20"/>
        </w:rPr>
        <w:t>- Ako dva ili više igrača dijeli prvo mjesto u konačnom poretku pojedinačnih konkurencija onda se prethodno navedene nagrade ravnopravno dijele.</w:t>
      </w:r>
    </w:p>
    <w:p w14:paraId="1DFCC910" w14:textId="794CC94C" w:rsidR="007C3A83" w:rsidRDefault="007C3A83" w:rsidP="007C3A83">
      <w:pPr>
        <w:jc w:val="both"/>
        <w:rPr>
          <w:rStyle w:val="Emphasis"/>
          <w:rFonts w:ascii="Arial" w:hAnsi="Arial" w:cs="Arial"/>
          <w:color w:val="000000" w:themeColor="text1"/>
          <w:sz w:val="20"/>
          <w:szCs w:val="20"/>
        </w:rPr>
      </w:pPr>
      <w:r w:rsidRPr="0057248E">
        <w:rPr>
          <w:rStyle w:val="Emphasis"/>
          <w:rFonts w:ascii="Arial" w:hAnsi="Arial" w:cs="Arial"/>
          <w:color w:val="000000" w:themeColor="text1"/>
          <w:sz w:val="20"/>
          <w:szCs w:val="20"/>
        </w:rPr>
        <w:t>- Za prva tri mjesta u konačnom poretku HK u svim dobnim skupinama i u svim konkurencijama dobivaju se medalje. Više igrača može dijeliti neko od prva tri mjesta u konačnom poretku i svi oni dobivaju medalje.</w:t>
      </w:r>
    </w:p>
    <w:p w14:paraId="72D98E61" w14:textId="4EA90253" w:rsidR="00D73DE4" w:rsidRDefault="00D73DE4" w:rsidP="00D73DE4">
      <w:pPr>
        <w:jc w:val="both"/>
        <w:rPr>
          <w:rStyle w:val="Emphasis"/>
          <w:rFonts w:ascii="Arial" w:hAnsi="Arial" w:cs="Arial"/>
          <w:color w:val="0070C0"/>
          <w:sz w:val="20"/>
          <w:szCs w:val="20"/>
        </w:rPr>
      </w:pPr>
      <w:r w:rsidRPr="007C3A83">
        <w:rPr>
          <w:rStyle w:val="Emphasis"/>
          <w:rFonts w:ascii="Arial" w:hAnsi="Arial" w:cs="Arial"/>
          <w:color w:val="0070C0"/>
          <w:sz w:val="20"/>
          <w:szCs w:val="20"/>
        </w:rPr>
        <w:t xml:space="preserve">- Pobjednici u konačnom poretku HK u pojedinačnim konkurencijama u svim dobnim skupinama dobivaju pehar. </w:t>
      </w:r>
      <w:r w:rsidR="008B4B91">
        <w:rPr>
          <w:rStyle w:val="Emphasis"/>
          <w:rFonts w:ascii="Arial" w:hAnsi="Arial" w:cs="Arial"/>
          <w:color w:val="0070C0"/>
          <w:sz w:val="20"/>
          <w:szCs w:val="20"/>
        </w:rPr>
        <w:t>V</w:t>
      </w:r>
      <w:r w:rsidRPr="007C3A83">
        <w:rPr>
          <w:rStyle w:val="Emphasis"/>
          <w:rFonts w:ascii="Arial" w:hAnsi="Arial" w:cs="Arial"/>
          <w:color w:val="0070C0"/>
          <w:sz w:val="20"/>
          <w:szCs w:val="20"/>
        </w:rPr>
        <w:t xml:space="preserve">iše igrača </w:t>
      </w:r>
      <w:r w:rsidR="008B4B91">
        <w:rPr>
          <w:rStyle w:val="Emphasis"/>
          <w:rFonts w:ascii="Arial" w:hAnsi="Arial" w:cs="Arial"/>
          <w:color w:val="0070C0"/>
          <w:sz w:val="20"/>
          <w:szCs w:val="20"/>
        </w:rPr>
        <w:t xml:space="preserve">može </w:t>
      </w:r>
      <w:r w:rsidRPr="007C3A83">
        <w:rPr>
          <w:rStyle w:val="Emphasis"/>
          <w:rFonts w:ascii="Arial" w:hAnsi="Arial" w:cs="Arial"/>
          <w:color w:val="0070C0"/>
          <w:sz w:val="20"/>
          <w:szCs w:val="20"/>
        </w:rPr>
        <w:t xml:space="preserve">dijeli prvo mjesto u konačnom poretku pojedinačnih konkurencija </w:t>
      </w:r>
      <w:r w:rsidR="008B4B91">
        <w:rPr>
          <w:rStyle w:val="Emphasis"/>
          <w:rFonts w:ascii="Arial" w:hAnsi="Arial" w:cs="Arial"/>
          <w:color w:val="0070C0"/>
          <w:sz w:val="20"/>
          <w:szCs w:val="20"/>
        </w:rPr>
        <w:t>i svi oni dobivaju pehar.</w:t>
      </w:r>
    </w:p>
    <w:p w14:paraId="05BA32F9" w14:textId="77777777" w:rsidR="007C3A83" w:rsidRPr="0057248E" w:rsidRDefault="007C3A83" w:rsidP="007C3A83">
      <w:pPr>
        <w:jc w:val="both"/>
        <w:rPr>
          <w:rStyle w:val="Emphasis"/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57248E">
        <w:rPr>
          <w:rStyle w:val="Emphasis"/>
          <w:rFonts w:ascii="Arial" w:hAnsi="Arial" w:cs="Arial"/>
          <w:color w:val="000000" w:themeColor="text1"/>
          <w:sz w:val="20"/>
          <w:szCs w:val="20"/>
        </w:rPr>
        <w:t>- Sve nagrade osigurava Savez.</w:t>
      </w:r>
    </w:p>
    <w:p w14:paraId="0AB5014B" w14:textId="0FA63F1F" w:rsidR="007C3A83" w:rsidRDefault="007C3A83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5E9D744F" w14:textId="0B991486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C3C45DB" w14:textId="721968D0" w:rsidR="00D82EE5" w:rsidRDefault="00D82EE5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53D6F3C4" w14:textId="785277F2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0ED085A3" w14:textId="70A38877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CB73DA8" w14:textId="2CC53CC2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25B8B971" w14:textId="3AAEEB29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38045D4" w14:textId="4B03D039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C57FE5C" w14:textId="06C5FF98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74EB1A8B" w14:textId="7A664CC4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19BE839" w14:textId="1528B7A3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5619B564" w14:textId="33509A9D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36485858" w14:textId="1072039C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010130C5" w14:textId="25B8B8C7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3A958183" w14:textId="14964E0E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53D2794" w14:textId="76245751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6B36B69C" w14:textId="2D086600" w:rsidR="000E5707" w:rsidRDefault="000E5707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42DDFE53" w14:textId="03F7EC20" w:rsidR="00760987" w:rsidRPr="00492B1E" w:rsidRDefault="00D82EE5" w:rsidP="00760987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760987">
        <w:rPr>
          <w:rStyle w:val="Strong"/>
          <w:rFonts w:ascii="Arial" w:hAnsi="Arial" w:cs="Arial"/>
          <w:sz w:val="20"/>
          <w:szCs w:val="20"/>
        </w:rPr>
        <w:lastRenderedPageBreak/>
        <w:t>Članak 8.1</w:t>
      </w:r>
      <w:r w:rsidRPr="00760987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Pr="00760987">
        <w:rPr>
          <w:rStyle w:val="Strong"/>
          <w:rFonts w:ascii="Arial" w:hAnsi="Arial" w:cs="Arial"/>
          <w:b w:val="0"/>
          <w:color w:val="0070C0"/>
          <w:sz w:val="20"/>
          <w:szCs w:val="20"/>
        </w:rPr>
        <w:t xml:space="preserve">dopuna 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(MJ: U važećem Natjecateljskom pravilniku Saveza, u člancima 8.2 i 8.3 (vezano za Obradu natjecanja), jedan primjer nije formalno pokriven Natjecateljskim pravilnikom. Radi se o slučaju kada je za neku članicu Saveza registriran igrač/igračica koji je ujedno član i nekog kluba u inozemstvu. Pri tome taj igrač/igračica može na međunarodnim natjecanjima nastupati za članicu Saveza, a može nastupati i za klub iz inozemstva. Prilikom ažuriranja rang lista Saveza, ostala je dilema treba li evidentirati sve međunarodne nastupe tog igrača, bez obzira za koji klub nastupa na nekom međunarodnom natjecanju.</w:t>
      </w:r>
      <w:r w:rsidR="00760987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Temelj toga u članku 8.1 je dopunjeno da se evidentiraju samo rezultati koje su igrači/igračice ostvarili igrajući za članice Saveza. To je već i primijenjeno na rang listama – temeljem Odluke ravnatelja od 04.10.2019.: </w:t>
      </w:r>
    </w:p>
    <w:p w14:paraId="6BEE4786" w14:textId="3C9A3BE1" w:rsidR="00D82EE5" w:rsidRPr="00492B1E" w:rsidRDefault="00DB5DBD" w:rsidP="00760987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hyperlink r:id="rId8" w:history="1">
        <w:r w:rsidR="00760987" w:rsidRPr="00492B1E">
          <w:rPr>
            <w:rStyle w:val="Hyperlink"/>
            <w:rFonts w:ascii="Arial" w:hAnsi="Arial" w:cs="Arial"/>
            <w:color w:val="7030A0"/>
            <w:sz w:val="20"/>
            <w:szCs w:val="20"/>
          </w:rPr>
          <w:t>https://www.cba.hr/novosti/Rang-liste---bodovanje-na-rang-listama-HBS-a-20191004125448</w:t>
        </w:r>
      </w:hyperlink>
      <w:r w:rsidR="00760987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 </w:t>
      </w:r>
      <w:r w:rsidR="00D82EE5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) </w:t>
      </w:r>
    </w:p>
    <w:p w14:paraId="472FCCBA" w14:textId="33F3D474" w:rsidR="00D82EE5" w:rsidRPr="00492B1E" w:rsidRDefault="00D82EE5" w:rsidP="009233C6">
      <w:pPr>
        <w:jc w:val="both"/>
        <w:rPr>
          <w:rStyle w:val="Strong"/>
          <w:rFonts w:ascii="Arial" w:hAnsi="Arial" w:cs="Arial"/>
          <w:color w:val="7030A0"/>
          <w:sz w:val="20"/>
          <w:szCs w:val="20"/>
        </w:rPr>
      </w:pPr>
    </w:p>
    <w:p w14:paraId="6D455846" w14:textId="77777777" w:rsidR="00D82EE5" w:rsidRPr="00D82EE5" w:rsidRDefault="00D82EE5" w:rsidP="00D82EE5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i/>
          <w:sz w:val="20"/>
          <w:szCs w:val="20"/>
        </w:rPr>
      </w:pPr>
      <w:r w:rsidRPr="00D82EE5">
        <w:rPr>
          <w:rFonts w:ascii="Arial" w:hAnsi="Arial" w:cs="Arial"/>
          <w:i/>
          <w:sz w:val="20"/>
          <w:szCs w:val="20"/>
        </w:rPr>
        <w:t xml:space="preserve">8.1 Jakostne ljestvice Saveza i Poredak u HK se u svim konkurencijama (pojedinačnim i parskim) vode zasebno i ponaosob, a na istima se mogu voditi samo registrirani igrači. </w:t>
      </w:r>
      <w:r w:rsidRPr="00D82EE5">
        <w:rPr>
          <w:rFonts w:ascii="Arial" w:hAnsi="Arial" w:cs="Arial"/>
          <w:i/>
          <w:color w:val="0070C0"/>
          <w:sz w:val="20"/>
          <w:szCs w:val="20"/>
        </w:rPr>
        <w:t>Na jakostnim ljestvicama Saveza i Poredak HK, e</w:t>
      </w:r>
      <w:r w:rsidRPr="00D82EE5">
        <w:rPr>
          <w:rStyle w:val="Strong"/>
          <w:rFonts w:ascii="Arial" w:hAnsi="Arial" w:cs="Arial"/>
          <w:b w:val="0"/>
          <w:i/>
          <w:color w:val="0070C0"/>
          <w:sz w:val="20"/>
          <w:szCs w:val="20"/>
        </w:rPr>
        <w:t>videntiraju se samo rezultati koji su igrači ostvarili igrajući za članice Saveza. Osim natjecanja HK i PH, tu ulaze i svi međunarodni turniri na kojima nastupaju kao igrači članice Saveza (pod CRO zastavom)</w:t>
      </w:r>
      <w:r w:rsidRPr="00D82EE5">
        <w:rPr>
          <w:rStyle w:val="Strong"/>
          <w:rFonts w:ascii="Arial" w:hAnsi="Arial" w:cs="Arial"/>
          <w:b w:val="0"/>
          <w:i/>
          <w:sz w:val="20"/>
          <w:szCs w:val="20"/>
        </w:rPr>
        <w:t>.</w:t>
      </w:r>
    </w:p>
    <w:p w14:paraId="2481EA84" w14:textId="77777777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0DDDF165" w14:textId="16826C50" w:rsidR="00492B1E" w:rsidRDefault="00492B1E" w:rsidP="00492B1E">
      <w:pPr>
        <w:jc w:val="both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3BE8D2C7" w14:textId="6DEAF1A2" w:rsidR="007C3A83" w:rsidRDefault="007C3A83" w:rsidP="005D68DB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</w:p>
    <w:p w14:paraId="2784654D" w14:textId="05F85C1E" w:rsidR="005D68DB" w:rsidRPr="00D712EB" w:rsidRDefault="005D68DB" w:rsidP="005D68DB">
      <w:pPr>
        <w:pStyle w:val="ListParagraph"/>
        <w:numPr>
          <w:ilvl w:val="0"/>
          <w:numId w:val="1"/>
        </w:numPr>
        <w:jc w:val="both"/>
        <w:rPr>
          <w:rStyle w:val="Strong"/>
          <w:rFonts w:ascii="Arial" w:hAnsi="Arial" w:cs="Arial"/>
          <w:sz w:val="20"/>
          <w:szCs w:val="20"/>
        </w:rPr>
      </w:pPr>
      <w:r w:rsidRPr="00080D1C">
        <w:rPr>
          <w:rStyle w:val="Strong"/>
          <w:rFonts w:ascii="Arial" w:hAnsi="Arial" w:cs="Arial"/>
          <w:sz w:val="20"/>
          <w:szCs w:val="20"/>
        </w:rPr>
        <w:t xml:space="preserve">Članak </w:t>
      </w:r>
      <w:r>
        <w:rPr>
          <w:rStyle w:val="Strong"/>
          <w:rFonts w:ascii="Arial" w:hAnsi="Arial" w:cs="Arial"/>
          <w:sz w:val="20"/>
          <w:szCs w:val="20"/>
        </w:rPr>
        <w:t>8</w:t>
      </w:r>
      <w:r w:rsidRPr="00080D1C">
        <w:rPr>
          <w:rStyle w:val="Strong"/>
          <w:rFonts w:ascii="Arial" w:hAnsi="Arial" w:cs="Arial"/>
          <w:sz w:val="20"/>
          <w:szCs w:val="20"/>
        </w:rPr>
        <w:t>.</w:t>
      </w:r>
      <w:r>
        <w:rPr>
          <w:rStyle w:val="Strong"/>
          <w:rFonts w:ascii="Arial" w:hAnsi="Arial" w:cs="Arial"/>
          <w:sz w:val="20"/>
          <w:szCs w:val="20"/>
        </w:rPr>
        <w:t>8</w:t>
      </w:r>
      <w:r w:rsidRPr="00080D1C">
        <w:rPr>
          <w:rStyle w:val="Strong"/>
          <w:rFonts w:ascii="Arial" w:hAnsi="Arial" w:cs="Arial"/>
          <w:b w:val="0"/>
          <w:sz w:val="20"/>
          <w:szCs w:val="20"/>
        </w:rPr>
        <w:t xml:space="preserve"> – </w:t>
      </w:r>
      <w:r w:rsidR="004C16E1">
        <w:rPr>
          <w:rStyle w:val="Strong"/>
          <w:rFonts w:ascii="Arial" w:hAnsi="Arial" w:cs="Arial"/>
          <w:b w:val="0"/>
          <w:color w:val="0070C0"/>
          <w:sz w:val="20"/>
          <w:szCs w:val="20"/>
        </w:rPr>
        <w:t>izmjena</w:t>
      </w:r>
      <w:r w:rsidRPr="00080D1C">
        <w:rPr>
          <w:rStyle w:val="Strong"/>
          <w:rFonts w:ascii="Arial" w:hAnsi="Arial" w:cs="Arial"/>
          <w:b w:val="0"/>
          <w:color w:val="0070C0"/>
          <w:sz w:val="20"/>
          <w:szCs w:val="20"/>
        </w:rPr>
        <w:t xml:space="preserve"> </w:t>
      </w:r>
      <w:r w:rsidR="00D712EB">
        <w:rPr>
          <w:rStyle w:val="Strong"/>
          <w:rFonts w:ascii="Arial" w:hAnsi="Arial" w:cs="Arial"/>
          <w:b w:val="0"/>
          <w:color w:val="0070C0"/>
          <w:sz w:val="20"/>
          <w:szCs w:val="20"/>
        </w:rPr>
        <w:t>– dvije opcije izmjene:</w:t>
      </w:r>
    </w:p>
    <w:p w14:paraId="23F2A8CB" w14:textId="77777777" w:rsidR="00D712EB" w:rsidRPr="00080D1C" w:rsidRDefault="00D712EB" w:rsidP="00D712EB">
      <w:pPr>
        <w:pStyle w:val="ListParagraph"/>
        <w:ind w:left="360"/>
        <w:jc w:val="both"/>
        <w:rPr>
          <w:rStyle w:val="Strong"/>
          <w:rFonts w:ascii="Arial" w:hAnsi="Arial" w:cs="Arial"/>
          <w:sz w:val="20"/>
          <w:szCs w:val="20"/>
        </w:rPr>
      </w:pPr>
    </w:p>
    <w:p w14:paraId="24862058" w14:textId="655AE31A" w:rsidR="005D68DB" w:rsidRPr="00492B1E" w:rsidRDefault="0096129F" w:rsidP="005D68DB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(MJ: prema prijedlogu BK Medvedgrad-1998 da se za jakostnu ljestvicu mlađih juniora (U17) boduju i U19 i seniorska natjecanja. U prijedlogu </w:t>
      </w:r>
      <w:r w:rsidR="005D68DB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je navedeno HK seniori i svi međunarodni U19 i seniorski turniri, a 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nije bilo navedeno PH U19, HK U19, PH seniori. Pa je zapravo ispravno predložiti promjenu da se boduju ova natjecanja</w:t>
      </w:r>
      <w:r w:rsidR="005D68DB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:</w:t>
      </w:r>
    </w:p>
    <w:p w14:paraId="097CE297" w14:textId="605E43D7" w:rsidR="005D68DB" w:rsidRPr="00492B1E" w:rsidRDefault="005D68DB" w:rsidP="009233C6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  <w:t>PH U17, HK U17 i međunarodna U17 natjecanja – to se već i sada boduje,</w:t>
      </w:r>
    </w:p>
    <w:p w14:paraId="768D9A9E" w14:textId="1B5D7F5A" w:rsidR="005D68DB" w:rsidRPr="00492B1E" w:rsidRDefault="005D68DB" w:rsidP="005D68DB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  <w:t>PH U19, HK U19 i međunarodna U19 natjecanja – novo,</w:t>
      </w:r>
    </w:p>
    <w:p w14:paraId="29162CFA" w14:textId="3F83DEA1" w:rsidR="00492B1E" w:rsidRPr="00492B1E" w:rsidRDefault="005D68DB" w:rsidP="005D68DB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  <w:t>PH seniori, HK seniori i međunarodna seniorska natjecanja – novo</w:t>
      </w:r>
      <w:r w:rsidR="00492B1E"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</w:p>
    <w:p w14:paraId="3D10BC25" w14:textId="77777777" w:rsidR="0007458A" w:rsidRDefault="0007458A" w:rsidP="009233C6">
      <w:pPr>
        <w:jc w:val="both"/>
        <w:rPr>
          <w:rStyle w:val="Strong"/>
          <w:rFonts w:ascii="Arial" w:hAnsi="Arial" w:cs="Arial"/>
          <w:sz w:val="20"/>
          <w:szCs w:val="20"/>
        </w:rPr>
      </w:pPr>
    </w:p>
    <w:p w14:paraId="2175619C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8.8 Jakostna ljestvica Saveza za mlađe juniore:</w:t>
      </w:r>
    </w:p>
    <w:p w14:paraId="2F2E60E2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Služi za određivanje nositelja na natjecanju PH za mlađe juniore i HK za mlađe juniore.</w:t>
      </w:r>
    </w:p>
    <w:p w14:paraId="21479552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Za ljestvicu se vrednuju natjecanja PH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>, PH za juniore i PH za seniore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, natjecanja HK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>, HK za juniore i HK za seniore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, te sva natjecanja za mlađe juniorsku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, juniorsku i seniorsku 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europsku i svjetsku jakostnu ljestvicu. </w:t>
      </w:r>
    </w:p>
    <w:p w14:paraId="52382EC0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Rezultati na mlađe juniorskim natjecanjima vrednuju se samo za mlađe juniorsku jakostnu ljestvicu.</w:t>
      </w:r>
    </w:p>
    <w:p w14:paraId="50664BEC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Mlađi Juniori - pojedinačno i parovi: </w:t>
      </w:r>
    </w:p>
    <w:p w14:paraId="7F7B8435" w14:textId="77777777" w:rsidR="0096129F" w:rsidRPr="005D68DB" w:rsidRDefault="0096129F" w:rsidP="0096129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Za jakostnu ljestvicu Saveza u pojedinačnim i parskim konkurencijama mlađih juniora zbrajaju se 5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>najboljih plasmana uzimajući u obzir zadnje održano PH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, zadnje održano PH za </w:t>
      </w:r>
      <w:r w:rsidRPr="005D68DB">
        <w:rPr>
          <w:rFonts w:ascii="Arial" w:hAnsi="Arial" w:cs="Arial"/>
          <w:i/>
          <w:color w:val="0070C0"/>
          <w:sz w:val="20"/>
          <w:szCs w:val="20"/>
        </w:rPr>
        <w:tab/>
        <w:t>juniore, zadnje održano PH za seniore,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 4 zadnje održana natjecanja (kruga) HK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, 4 </w:t>
      </w:r>
      <w:r w:rsidRPr="005D68DB">
        <w:rPr>
          <w:rFonts w:ascii="Arial" w:hAnsi="Arial" w:cs="Arial"/>
          <w:i/>
          <w:color w:val="0070C0"/>
          <w:sz w:val="20"/>
          <w:szCs w:val="20"/>
        </w:rPr>
        <w:tab/>
        <w:t>zadnje održana natjecanja (kruga) HK za juniore, 4 zadnje održana natjecanja (kruga) HK za seniore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>te sva natjecanja održana u zadnjih godinu dana za mlađe juniorsku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, juniorsku i seniorsku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>europsku i svjetsku jakostnu ljestvicu.</w:t>
      </w:r>
    </w:p>
    <w:p w14:paraId="4CB883C0" w14:textId="289FDF0B" w:rsidR="00135A9D" w:rsidRDefault="00135A9D" w:rsidP="00A00ED8">
      <w:pPr>
        <w:jc w:val="both"/>
      </w:pPr>
    </w:p>
    <w:p w14:paraId="2F84ACA3" w14:textId="40A98811" w:rsidR="007F6570" w:rsidRDefault="00492B1E" w:rsidP="00492B1E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(</w:t>
      </w:r>
      <w:r w:rsidR="002A43DC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MJ: </w:t>
      </w: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Međutim, možda je bolji prijedlog da se 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za jakostnu ljestvicu mlađih juniora (U17) boduju </w:t>
      </w:r>
      <w:r w:rsidR="00922755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još samo 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i U19 natjecanja. </w:t>
      </w:r>
      <w:r w:rsidR="00922755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Znači, ne i seniorska. </w:t>
      </w:r>
      <w:r w:rsidR="007F6570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Jer će igrači U17 </w:t>
      </w:r>
      <w:r w:rsidR="00813F45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sve zajedno </w:t>
      </w:r>
      <w:r w:rsidR="007F6570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igrati </w:t>
      </w:r>
      <w:r w:rsidR="004F7E64">
        <w:rPr>
          <w:rStyle w:val="Strong"/>
          <w:rFonts w:ascii="Arial" w:hAnsi="Arial" w:cs="Arial"/>
          <w:b w:val="0"/>
          <w:color w:val="7030A0"/>
          <w:sz w:val="20"/>
          <w:szCs w:val="20"/>
        </w:rPr>
        <w:t>jako malo seniorskih turnira</w:t>
      </w:r>
      <w:r w:rsidR="00C34DFB">
        <w:rPr>
          <w:rStyle w:val="Strong"/>
          <w:rFonts w:ascii="Arial" w:hAnsi="Arial" w:cs="Arial"/>
          <w:b w:val="0"/>
          <w:color w:val="7030A0"/>
          <w:sz w:val="20"/>
          <w:szCs w:val="20"/>
        </w:rPr>
        <w:t xml:space="preserve">, tako da </w:t>
      </w:r>
      <w:r w:rsidR="00586390">
        <w:rPr>
          <w:rStyle w:val="Strong"/>
          <w:rFonts w:ascii="Arial" w:hAnsi="Arial" w:cs="Arial"/>
          <w:b w:val="0"/>
          <w:color w:val="7030A0"/>
          <w:sz w:val="20"/>
          <w:szCs w:val="20"/>
        </w:rPr>
        <w:t>mislim da je dovoljno dodatno uključiti samo U19 natjecanja.</w:t>
      </w:r>
    </w:p>
    <w:p w14:paraId="62B3B196" w14:textId="46D33428" w:rsidR="00492B1E" w:rsidRPr="00492B1E" w:rsidRDefault="00922755" w:rsidP="00492B1E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7030A0"/>
          <w:sz w:val="20"/>
          <w:szCs w:val="20"/>
        </w:rPr>
        <w:t>Bodovala bi se ova natjecanja:</w:t>
      </w:r>
    </w:p>
    <w:p w14:paraId="22B0BDF5" w14:textId="77777777" w:rsidR="00492B1E" w:rsidRPr="00492B1E" w:rsidRDefault="00492B1E" w:rsidP="00492B1E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  <w:t>PH U17, HK U17 i međunarodna U17 natjecanja – to se već i sada boduje,</w:t>
      </w:r>
    </w:p>
    <w:p w14:paraId="71741A25" w14:textId="77777777" w:rsidR="00492B1E" w:rsidRPr="00492B1E" w:rsidRDefault="00492B1E" w:rsidP="00492B1E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  <w:t>PH U19, HK U19 i međunarodna U19 natjecanja – novo,</w:t>
      </w:r>
    </w:p>
    <w:p w14:paraId="0E1BFBD9" w14:textId="77777777" w:rsidR="00492B1E" w:rsidRPr="00492B1E" w:rsidRDefault="00492B1E" w:rsidP="00492B1E">
      <w:pPr>
        <w:jc w:val="both"/>
        <w:rPr>
          <w:rStyle w:val="Strong"/>
          <w:rFonts w:ascii="Arial" w:hAnsi="Arial" w:cs="Arial"/>
          <w:b w:val="0"/>
          <w:color w:val="7030A0"/>
          <w:sz w:val="20"/>
          <w:szCs w:val="20"/>
        </w:rPr>
      </w:pP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ab/>
      </w:r>
      <w:r w:rsidRPr="00922755">
        <w:rPr>
          <w:rStyle w:val="Strong"/>
          <w:rFonts w:ascii="Arial" w:hAnsi="Arial" w:cs="Arial"/>
          <w:b w:val="0"/>
          <w:strike/>
          <w:color w:val="7030A0"/>
          <w:sz w:val="20"/>
          <w:szCs w:val="20"/>
        </w:rPr>
        <w:t>PH seniori, HK seniori i međunarodna seniorska natjecanja – novo</w:t>
      </w:r>
      <w:r w:rsidRPr="00492B1E">
        <w:rPr>
          <w:rStyle w:val="Strong"/>
          <w:rFonts w:ascii="Arial" w:hAnsi="Arial" w:cs="Arial"/>
          <w:b w:val="0"/>
          <w:color w:val="7030A0"/>
          <w:sz w:val="20"/>
          <w:szCs w:val="20"/>
        </w:rPr>
        <w:t>)</w:t>
      </w:r>
    </w:p>
    <w:p w14:paraId="183C7726" w14:textId="7635A089" w:rsidR="00492B1E" w:rsidRDefault="00492B1E" w:rsidP="00A00ED8">
      <w:pPr>
        <w:jc w:val="both"/>
      </w:pPr>
    </w:p>
    <w:p w14:paraId="3831A6CB" w14:textId="77777777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8.8 Jakostna ljestvica Saveza za mlađe juniore:</w:t>
      </w:r>
    </w:p>
    <w:p w14:paraId="63D88905" w14:textId="77777777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Služi za određivanje nositelja na natjecanju PH za mlađe juniore i HK za mlađe juniore.</w:t>
      </w:r>
    </w:p>
    <w:p w14:paraId="050D7C68" w14:textId="671F45DE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Za ljestvicu se vrednuju natjecanja PH za mlađe juniore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i PH za </w:t>
      </w:r>
      <w:r>
        <w:rPr>
          <w:rFonts w:ascii="Arial" w:hAnsi="Arial" w:cs="Arial"/>
          <w:i/>
          <w:color w:val="0070C0"/>
          <w:sz w:val="20"/>
          <w:szCs w:val="20"/>
        </w:rPr>
        <w:t>juniore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, natjecanja HK za mlađe juniore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i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 HK za juniore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, te sva natjecanja za mlađe juniorsku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>i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 juniorsku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europsku i svjetsku jakostnu ljestvicu. </w:t>
      </w:r>
    </w:p>
    <w:p w14:paraId="716A515C" w14:textId="77777777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Rezultati na mlađe juniorskim natjecanjima vrednuju se samo za mlađe juniorsku jakostnu ljestvicu.</w:t>
      </w:r>
    </w:p>
    <w:p w14:paraId="16C01D60" w14:textId="77777777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Mlađi Juniori - pojedinačno i parovi: </w:t>
      </w:r>
    </w:p>
    <w:p w14:paraId="74D79DCA" w14:textId="77777777" w:rsidR="00922755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 xml:space="preserve">Za jakostnu ljestvicu Saveza u pojedinačnim i parskim konkurencijama mlađih juniora zbrajaju se 5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ab/>
        <w:t>najboljih plasmana uzimajući u obzir zadnje održano PH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, zadnje održano PH za </w:t>
      </w:r>
      <w:r w:rsidRPr="005D68DB">
        <w:rPr>
          <w:rFonts w:ascii="Arial" w:hAnsi="Arial" w:cs="Arial"/>
          <w:i/>
          <w:color w:val="0070C0"/>
          <w:sz w:val="20"/>
          <w:szCs w:val="20"/>
        </w:rPr>
        <w:tab/>
        <w:t xml:space="preserve">juniore,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4 zadnje održana natjecanja (kruga) HK za mlađe juniore</w:t>
      </w:r>
      <w:r w:rsidRPr="005D68DB">
        <w:rPr>
          <w:rFonts w:ascii="Arial" w:hAnsi="Arial" w:cs="Arial"/>
          <w:i/>
          <w:color w:val="0070C0"/>
          <w:sz w:val="20"/>
          <w:szCs w:val="20"/>
        </w:rPr>
        <w:t>, 4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zadnje održana natjecanja (kruga) </w:t>
      </w:r>
    </w:p>
    <w:p w14:paraId="356BF589" w14:textId="77777777" w:rsidR="00922755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           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HK za juniore, </w:t>
      </w:r>
      <w:r w:rsidRPr="00813F45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e sva natjecanja održana u zadnjih godinu dana za mlađe juniorsku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>i</w:t>
      </w:r>
      <w:r w:rsidRPr="005D68DB">
        <w:rPr>
          <w:rFonts w:ascii="Arial" w:hAnsi="Arial" w:cs="Arial"/>
          <w:i/>
          <w:color w:val="0070C0"/>
          <w:sz w:val="20"/>
          <w:szCs w:val="20"/>
        </w:rPr>
        <w:t xml:space="preserve"> juniorsku </w:t>
      </w:r>
      <w:r>
        <w:rPr>
          <w:rFonts w:ascii="Arial" w:hAnsi="Arial" w:cs="Arial"/>
          <w:i/>
          <w:color w:val="000000" w:themeColor="text1"/>
          <w:sz w:val="20"/>
          <w:szCs w:val="20"/>
        </w:rPr>
        <w:t>eu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 xml:space="preserve">ropsku </w:t>
      </w:r>
    </w:p>
    <w:p w14:paraId="6333B587" w14:textId="0FA92E47" w:rsidR="00922755" w:rsidRPr="005D68DB" w:rsidRDefault="00922755" w:rsidP="0092275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</w:t>
      </w:r>
      <w:r w:rsidRPr="005D68DB">
        <w:rPr>
          <w:rFonts w:ascii="Arial" w:hAnsi="Arial" w:cs="Arial"/>
          <w:i/>
          <w:color w:val="000000" w:themeColor="text1"/>
          <w:sz w:val="20"/>
          <w:szCs w:val="20"/>
        </w:rPr>
        <w:t>i svjetsku jakostnu ljestvicu.</w:t>
      </w:r>
    </w:p>
    <w:p w14:paraId="025CABA6" w14:textId="7AE0E5A2" w:rsidR="00922755" w:rsidRPr="000E5707" w:rsidRDefault="00922755" w:rsidP="0092275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sectPr w:rsidR="00922755" w:rsidRPr="000E5707" w:rsidSect="005D68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B620D"/>
    <w:multiLevelType w:val="hybridMultilevel"/>
    <w:tmpl w:val="E1FE76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3C6"/>
    <w:rsid w:val="0007458A"/>
    <w:rsid w:val="00080D1C"/>
    <w:rsid w:val="000C32B2"/>
    <w:rsid w:val="000E5707"/>
    <w:rsid w:val="00135A9D"/>
    <w:rsid w:val="001F4F67"/>
    <w:rsid w:val="00232B6F"/>
    <w:rsid w:val="0023560C"/>
    <w:rsid w:val="00252197"/>
    <w:rsid w:val="0029160B"/>
    <w:rsid w:val="002A43DC"/>
    <w:rsid w:val="00301E6C"/>
    <w:rsid w:val="003525CC"/>
    <w:rsid w:val="003A5E59"/>
    <w:rsid w:val="003B66A2"/>
    <w:rsid w:val="003C5AEB"/>
    <w:rsid w:val="0046102F"/>
    <w:rsid w:val="00492B1E"/>
    <w:rsid w:val="004C16E1"/>
    <w:rsid w:val="004F7E64"/>
    <w:rsid w:val="005175A1"/>
    <w:rsid w:val="00586390"/>
    <w:rsid w:val="005D68DB"/>
    <w:rsid w:val="005E557D"/>
    <w:rsid w:val="006018BA"/>
    <w:rsid w:val="006616E9"/>
    <w:rsid w:val="006621DA"/>
    <w:rsid w:val="007536B3"/>
    <w:rsid w:val="00760987"/>
    <w:rsid w:val="007C3A83"/>
    <w:rsid w:val="007F6570"/>
    <w:rsid w:val="00804D41"/>
    <w:rsid w:val="00813F45"/>
    <w:rsid w:val="00882290"/>
    <w:rsid w:val="008B4B91"/>
    <w:rsid w:val="008E43EC"/>
    <w:rsid w:val="00903E7A"/>
    <w:rsid w:val="00922755"/>
    <w:rsid w:val="009233C6"/>
    <w:rsid w:val="0093085D"/>
    <w:rsid w:val="0096129F"/>
    <w:rsid w:val="009747E3"/>
    <w:rsid w:val="00993592"/>
    <w:rsid w:val="009F7A4F"/>
    <w:rsid w:val="00A00ED8"/>
    <w:rsid w:val="00A0159A"/>
    <w:rsid w:val="00A258B6"/>
    <w:rsid w:val="00AA3E24"/>
    <w:rsid w:val="00AC40DB"/>
    <w:rsid w:val="00B140F9"/>
    <w:rsid w:val="00BE2EE2"/>
    <w:rsid w:val="00C06EEA"/>
    <w:rsid w:val="00C110C8"/>
    <w:rsid w:val="00C34DFB"/>
    <w:rsid w:val="00D04B60"/>
    <w:rsid w:val="00D712EB"/>
    <w:rsid w:val="00D73DE4"/>
    <w:rsid w:val="00D82EE5"/>
    <w:rsid w:val="00DB5DBD"/>
    <w:rsid w:val="00ED49A9"/>
    <w:rsid w:val="00FD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CFC4"/>
  <w15:chartTrackingRefBased/>
  <w15:docId w15:val="{0000F3F3-91B5-46F9-A51F-8EFC59F9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33C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9233C6"/>
    <w:rPr>
      <w:b/>
      <w:bCs/>
    </w:rPr>
  </w:style>
  <w:style w:type="paragraph" w:styleId="ListParagraph">
    <w:name w:val="List Paragraph"/>
    <w:basedOn w:val="Normal"/>
    <w:uiPriority w:val="34"/>
    <w:qFormat/>
    <w:rsid w:val="00882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9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98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99"/>
    <w:qFormat/>
    <w:rsid w:val="007C3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a.hr/novosti/Rang-liste---bodovanje-na-rang-listama-HBS-a-2019100412544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4BF30E8F75446B47468D6B4F169A9" ma:contentTypeVersion="8" ma:contentTypeDescription="Create a new document." ma:contentTypeScope="" ma:versionID="eaac54ab7090edc769616df868514000">
  <xsd:schema xmlns:xsd="http://www.w3.org/2001/XMLSchema" xmlns:xs="http://www.w3.org/2001/XMLSchema" xmlns:p="http://schemas.microsoft.com/office/2006/metadata/properties" xmlns:ns3="5318afc2-d84e-4cde-98c5-02b1e24fbfd4" targetNamespace="http://schemas.microsoft.com/office/2006/metadata/properties" ma:root="true" ma:fieldsID="f4de3638935fcb57de13b5e72518f741" ns3:_="">
    <xsd:import namespace="5318afc2-d84e-4cde-98c5-02b1e24fb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8afc2-d84e-4cde-98c5-02b1e24fb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75AF9-15CC-4FA8-AA87-AEA41069D65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318afc2-d84e-4cde-98c5-02b1e24fbfd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B1C61E-C913-47C1-ABB8-6F48CF66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8afc2-d84e-4cde-98c5-02b1e24fb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DDA26-1867-430E-8E64-AFFE3F97E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1824</Words>
  <Characters>10397</Characters>
  <Application>Microsoft Office Word</Application>
  <DocSecurity>4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PBZ d.d.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Janičić</dc:creator>
  <cp:keywords/>
  <dc:description/>
  <cp:lastModifiedBy>Ivana Sladoljev</cp:lastModifiedBy>
  <cp:revision>2</cp:revision>
  <dcterms:created xsi:type="dcterms:W3CDTF">2019-12-16T17:22:00Z</dcterms:created>
  <dcterms:modified xsi:type="dcterms:W3CDTF">2019-12-16T17:22:00Z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0x010100EC14BF30E8F75446B47468D6B4F169A9</vt:lpwstr>
  </property>
</Properties>
</file>